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X21714a31e98447830ef37feeb1829e46756f582"/>
    <w:p>
      <w:pPr>
        <w:pStyle w:val="Heading1"/>
      </w:pPr>
      <w:r>
        <w:t xml:space="preserve">Документы для семьи погибшего участника СВО: перечень</w:t>
      </w:r>
    </w:p>
    <w:p>
      <w:pPr>
        <w:pStyle w:val="FirstParagraph"/>
      </w:pPr>
      <w:r>
        <w:t xml:space="preserve">Перечень для семьи участника СВО, который погиб, умер вследствие военной травмы, попал в плен или пропал без вести. Для каждой выплаты указано, куда подают документы и каким актом установлен перечень. Одни и те же документы нужны для разных выплат, поэтому копии удобно сделать сразу в нескольких экземплярах. Перечни в разделах 1, 2 и 4 составлены по актам из столбца «Основание»; документы, которые уже есть у воинской части или военкомата, у заявителя повторно не запрашивают. Точный комплект для вашей семьи перед подачей уточните в органе, который принимает заявление. Полные названия актов — в разделе «Основания» в конце.</w:t>
      </w:r>
    </w:p>
    <w:bookmarkStart w:id="9" w:name="X7bcfdef0be583d2223c85ced4242a1e77291fe3"/>
    <w:p>
      <w:pPr>
        <w:pStyle w:val="Heading2"/>
      </w:pPr>
      <w:r>
        <w:t xml:space="preserve">Общие документы (нужны почти для всех выплат)</w:t>
      </w:r>
    </w:p>
    <w:p>
      <w:pPr>
        <w:pStyle w:val="Compact"/>
        <w:numPr>
          <w:ilvl w:val="0"/>
          <w:numId w:val="1001"/>
        </w:numPr>
      </w:pPr>
      <w:r>
        <w:t xml:space="preserve">Документ, удостоверяющий личность заявителя (выдаёт МВД).</w:t>
      </w:r>
    </w:p>
    <w:p>
      <w:pPr>
        <w:pStyle w:val="Compact"/>
        <w:numPr>
          <w:ilvl w:val="0"/>
          <w:numId w:val="1001"/>
        </w:numPr>
      </w:pPr>
      <w:r>
        <w:t xml:space="preserve">Свидетельство о смерти (выдаёт ЗАГС) или справка о смерти.</w:t>
      </w:r>
    </w:p>
    <w:p>
      <w:pPr>
        <w:pStyle w:val="Compact"/>
        <w:numPr>
          <w:ilvl w:val="0"/>
          <w:numId w:val="1001"/>
        </w:numPr>
      </w:pPr>
      <w:r>
        <w:t xml:space="preserve">Документы о родстве: свидетельство о браке, свидетельство о рождении (выдаёт ЗАГС).</w:t>
      </w:r>
    </w:p>
    <w:p>
      <w:pPr>
        <w:pStyle w:val="Compact"/>
        <w:numPr>
          <w:ilvl w:val="0"/>
          <w:numId w:val="1001"/>
        </w:numPr>
      </w:pPr>
      <w:r>
        <w:t xml:space="preserve">Реквизиты банковского счёта заявителя (выдаёт банк).</w:t>
      </w:r>
    </w:p>
    <w:p>
      <w:pPr>
        <w:pStyle w:val="Compact"/>
        <w:numPr>
          <w:ilvl w:val="0"/>
          <w:numId w:val="1001"/>
        </w:numPr>
      </w:pPr>
      <w:r>
        <w:t xml:space="preserve">Для детей 18–23 лет — справка об очном обучении (выдаёт образовательная организация).</w:t>
      </w:r>
    </w:p>
    <w:p>
      <w:pPr>
        <w:pStyle w:val="Compact"/>
        <w:numPr>
          <w:ilvl w:val="0"/>
          <w:numId w:val="1001"/>
        </w:numPr>
      </w:pPr>
      <w:r>
        <w:t xml:space="preserve">Для детей старше 18 лет, ставших инвалидами до 18 лет, — справка МСЭ (выдаёт учреждение медико-социальной экспертизы).</w:t>
      </w:r>
    </w:p>
    <w:p>
      <w:pPr>
        <w:pStyle w:val="Compact"/>
        <w:numPr>
          <w:ilvl w:val="0"/>
          <w:numId w:val="1001"/>
        </w:numPr>
      </w:pPr>
      <w:r>
        <w:t xml:space="preserve">Для опекуна — решение органа опеки и попечительства; для фактического воспитателя — решение суда.</w:t>
      </w:r>
    </w:p>
    <w:p>
      <w:pPr>
        <w:pStyle w:val="Compact"/>
        <w:numPr>
          <w:ilvl w:val="0"/>
          <w:numId w:val="1001"/>
        </w:numPr>
      </w:pPr>
      <w:r>
        <w:t xml:space="preserve">Если заявление подаёт представитель — доверенность и его документ, удостоверяющий личность.</w:t>
      </w:r>
    </w:p>
    <w:bookmarkEnd w:id="9"/>
    <w:bookmarkStart w:id="10" w:name="X236e0758189fe424295e4717202447314f7cd00"/>
    <w:p>
      <w:pPr>
        <w:pStyle w:val="Heading2"/>
      </w:pPr>
      <w:r>
        <w:t xml:space="preserve">1. Единовременная выплата 5 000 000 ₽ по Указу № 98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Что подать</w:t>
            </w:r>
          </w:p>
        </w:tc>
        <w:tc>
          <w:tcPr/>
          <w:p>
            <w:pPr>
              <w:pStyle w:val="Compact"/>
            </w:pPr>
            <w:r>
              <w:t xml:space="preserve">Кто выдаёт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члена семьи (несовершеннолетних включают в заявление законного представителя)</w:t>
            </w:r>
          </w:p>
        </w:tc>
        <w:tc>
          <w:tcPr/>
          <w:p>
            <w:pPr>
              <w:pStyle w:val="Compact"/>
            </w:pPr>
            <w:r>
              <w:t xml:space="preserve">заявитель</w:t>
            </w:r>
          </w:p>
        </w:tc>
        <w:tc>
          <w:tcPr/>
          <w:p>
            <w:pPr>
              <w:pStyle w:val="Compact"/>
            </w:pPr>
            <w:r>
              <w:t xml:space="preserve">приказ № 236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Копия свидетельства о смерти, копии документов, удостоверяющих личность, документы о родстве</w:t>
            </w:r>
          </w:p>
        </w:tc>
        <w:tc>
          <w:tcPr/>
          <w:p>
            <w:pPr>
              <w:pStyle w:val="Compact"/>
            </w:pPr>
            <w:r>
              <w:t xml:space="preserve">ЗАГС, МВД</w:t>
            </w:r>
          </w:p>
        </w:tc>
        <w:tc>
          <w:tcPr/>
          <w:p>
            <w:pPr>
              <w:pStyle w:val="Compact"/>
            </w:pPr>
            <w:r>
              <w:t xml:space="preserve">приказ № 236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 об очном обучении с датой начала обучения — для детей 18–23 лет; копия справки об инвалидности, установленной до 18 лет, — для детей старше 18 лет</w:t>
            </w:r>
          </w:p>
        </w:tc>
        <w:tc>
          <w:tcPr/>
          <w:p>
            <w:pPr>
              <w:pStyle w:val="Compact"/>
            </w:pPr>
            <w:r>
              <w:t xml:space="preserve">образовательная организация, учреждение МСЭ</w:t>
            </w:r>
          </w:p>
        </w:tc>
        <w:tc>
          <w:tcPr/>
          <w:p>
            <w:pPr>
              <w:pStyle w:val="Compact"/>
            </w:pPr>
            <w:r>
              <w:t xml:space="preserve">приказ № 236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Решение органа опеки — для опекуна; копия решения суда о признании фактическим воспитателем</w:t>
            </w:r>
          </w:p>
        </w:tc>
        <w:tc>
          <w:tcPr/>
          <w:p>
            <w:pPr>
              <w:pStyle w:val="Compact"/>
            </w:pPr>
            <w:r>
              <w:t xml:space="preserve">орган опеки, суд</w:t>
            </w:r>
          </w:p>
        </w:tc>
        <w:tc>
          <w:tcPr/>
          <w:p>
            <w:pPr>
              <w:pStyle w:val="Compact"/>
            </w:pPr>
            <w:r>
              <w:t xml:space="preserve">приказ № 236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 смерти после увольнения — справка о гибели вследствие увечья и заключение ВВК о военной травме</w:t>
            </w:r>
          </w:p>
        </w:tc>
        <w:tc>
          <w:tcPr/>
          <w:p>
            <w:pPr>
              <w:pStyle w:val="Compact"/>
            </w:pPr>
            <w:r>
              <w:t xml:space="preserve">справку о гибели (рекомендуемый образец — приложение № 4 к порядку по приказу № 236) — по месту лечения или службы, уточните в военкомате; заключение — военно-врачебная комиссия</w:t>
            </w:r>
          </w:p>
        </w:tc>
        <w:tc>
          <w:tcPr/>
          <w:p>
            <w:pPr>
              <w:pStyle w:val="Compact"/>
            </w:pPr>
            <w:r>
              <w:t xml:space="preserve">приказ № 236</w:t>
            </w:r>
          </w:p>
        </w:tc>
      </w:tr>
    </w:tbl>
    <w:p>
      <w:pPr>
        <w:pStyle w:val="BodyText"/>
      </w:pPr>
      <w:r>
        <w:t xml:space="preserve">Куда: командиру части, где служил погибший; если смерть наступила в течение года после увольнения вследствие военной травмы, — военному комиссару субъекта по месту жительства умершего. Решение — не более 30 календарных дней со дня получения документов (приказ № 236, п. 3). Если семья живёт далеко от части, помочь с документами должен военкомат по месту жительства семьи.</w:t>
      </w:r>
    </w:p>
    <w:bookmarkEnd w:id="10"/>
    <w:bookmarkStart w:id="11" w:name="Xf59f30644385a0e1b8d44b43feb8918f79d2bc0"/>
    <w:p>
      <w:pPr>
        <w:pStyle w:val="Heading2"/>
      </w:pPr>
      <w:r>
        <w:t xml:space="preserve">2. Единовременное пособие семье погибшего по закону № 306-ФЗ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Что подать</w:t>
            </w:r>
          </w:p>
        </w:tc>
        <w:tc>
          <w:tcPr/>
          <w:p>
            <w:pPr>
              <w:pStyle w:val="Compact"/>
            </w:pPr>
            <w:r>
              <w:t xml:space="preserve">Кто выдаёт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</w:t>
            </w:r>
          </w:p>
        </w:tc>
        <w:tc>
          <w:tcPr/>
          <w:p>
            <w:pPr>
              <w:pStyle w:val="Compact"/>
            </w:pPr>
            <w:r>
              <w:t xml:space="preserve">заявитель лично или через представителя</w:t>
            </w:r>
          </w:p>
        </w:tc>
        <w:tc>
          <w:tcPr/>
          <w:p>
            <w:pPr>
              <w:pStyle w:val="Compact"/>
            </w:pPr>
            <w:r>
              <w:t xml:space="preserve">приказ № 665, п. 12,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Документ, удостоверяющий личность</w:t>
            </w:r>
          </w:p>
        </w:tc>
        <w:tc>
          <w:tcPr/>
          <w:p>
            <w:pPr>
              <w:pStyle w:val="Compact"/>
            </w:pPr>
            <w:r>
              <w:t xml:space="preserve">МВД</w:t>
            </w:r>
          </w:p>
        </w:tc>
        <w:tc>
          <w:tcPr/>
          <w:p>
            <w:pPr>
              <w:pStyle w:val="Compact"/>
            </w:pPr>
            <w:r>
              <w:t xml:space="preserve">приказ № 665, п.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Копия свидетельства или справки о смерти</w:t>
            </w:r>
          </w:p>
        </w:tc>
        <w:tc>
          <w:tcPr/>
          <w:p>
            <w:pPr>
              <w:pStyle w:val="Compact"/>
            </w:pPr>
            <w:r>
              <w:t xml:space="preserve">ЗАГС</w:t>
            </w:r>
          </w:p>
        </w:tc>
        <w:tc>
          <w:tcPr/>
          <w:p>
            <w:pPr>
              <w:pStyle w:val="Compact"/>
            </w:pPr>
            <w:r>
              <w:t xml:space="preserve">приказ № 665, п.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Копии документов о родстве</w:t>
            </w:r>
          </w:p>
        </w:tc>
        <w:tc>
          <w:tcPr/>
          <w:p>
            <w:pPr>
              <w:pStyle w:val="Compact"/>
            </w:pPr>
            <w:r>
              <w:t xml:space="preserve">ЗАГС</w:t>
            </w:r>
          </w:p>
        </w:tc>
        <w:tc>
          <w:tcPr/>
          <w:p>
            <w:pPr>
              <w:pStyle w:val="Compact"/>
            </w:pPr>
            <w:r>
              <w:t xml:space="preserve">приказ № 665, п.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Заключение ВВК — при смерти в течение года после увольнения или не при исполнении обязанностей</w:t>
            </w:r>
          </w:p>
        </w:tc>
        <w:tc>
          <w:tcPr/>
          <w:p>
            <w:pPr>
              <w:pStyle w:val="Compact"/>
            </w:pPr>
            <w:r>
              <w:t xml:space="preserve">военно-врачебная комиссия</w:t>
            </w:r>
          </w:p>
        </w:tc>
        <w:tc>
          <w:tcPr/>
          <w:p>
            <w:pPr>
              <w:pStyle w:val="Compact"/>
            </w:pPr>
            <w:r>
              <w:t xml:space="preserve">приказ № 665, п.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 МСЭ — для детей-инвалидов</w:t>
            </w:r>
          </w:p>
        </w:tc>
        <w:tc>
          <w:tcPr/>
          <w:p>
            <w:pPr>
              <w:pStyle w:val="Compact"/>
            </w:pPr>
            <w:r>
              <w:t xml:space="preserve">учреждение МСЭ</w:t>
            </w:r>
          </w:p>
        </w:tc>
        <w:tc>
          <w:tcPr/>
          <w:p>
            <w:pPr>
              <w:pStyle w:val="Compact"/>
            </w:pPr>
            <w:r>
              <w:t xml:space="preserve">приказ № 665, п.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 об очном обучении с датой зачисления — для детей 18–23 лет</w:t>
            </w:r>
          </w:p>
        </w:tc>
        <w:tc>
          <w:tcPr/>
          <w:p>
            <w:pPr>
              <w:pStyle w:val="Compact"/>
            </w:pPr>
            <w:r>
              <w:t xml:space="preserve">образовательная организация</w:t>
            </w:r>
          </w:p>
        </w:tc>
        <w:tc>
          <w:tcPr/>
          <w:p>
            <w:pPr>
              <w:pStyle w:val="Compact"/>
            </w:pPr>
            <w:r>
              <w:t xml:space="preserve">приказ № 665, п.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Решение суда о признании фактическим воспитателем</w:t>
            </w:r>
          </w:p>
        </w:tc>
        <w:tc>
          <w:tcPr/>
          <w:p>
            <w:pPr>
              <w:pStyle w:val="Compact"/>
            </w:pPr>
            <w:r>
              <w:t xml:space="preserve">суд</w:t>
            </w:r>
          </w:p>
        </w:tc>
        <w:tc>
          <w:tcPr/>
          <w:p>
            <w:pPr>
              <w:pStyle w:val="Compact"/>
            </w:pPr>
            <w:r>
              <w:t xml:space="preserve">приказ № 665, п.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 о завершении обучения в школе — для детей старше 18 лет до 1 сентября года окончания</w:t>
            </w:r>
          </w:p>
        </w:tc>
        <w:tc>
          <w:tcPr/>
          <w:p>
            <w:pPr>
              <w:pStyle w:val="Compact"/>
            </w:pPr>
            <w:r>
              <w:t xml:space="preserve">школа</w:t>
            </w:r>
          </w:p>
        </w:tc>
        <w:tc>
          <w:tcPr/>
          <w:p>
            <w:pPr>
              <w:pStyle w:val="Compact"/>
            </w:pPr>
            <w:r>
              <w:t xml:space="preserve">приказ № 665, п. 16</w:t>
            </w:r>
          </w:p>
        </w:tc>
      </w:tr>
    </w:tbl>
    <w:p>
      <w:pPr>
        <w:pStyle w:val="BodyText"/>
      </w:pPr>
      <w:r>
        <w:t xml:space="preserve">Куда: военный комиссариат по месту жительства (пребывания). Пособие выплачивают в срок до 30 дней со дня получения документов (ч. 12.2 ст. 3 закона № 306-ФЗ). Приказ № 1100, по которому раньше выплачивали это пособие, утратил силу.</w:t>
      </w:r>
    </w:p>
    <w:bookmarkEnd w:id="11"/>
    <w:bookmarkStart w:id="12" w:name="X8aa19153bc8b71222ff7c063a493e7347a8c61c"/>
    <w:p>
      <w:pPr>
        <w:pStyle w:val="Heading2"/>
      </w:pPr>
      <w:r>
        <w:t xml:space="preserve">3. Страховая сумма при гибели по закону № 52-ФЗ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Что подать</w:t>
            </w:r>
          </w:p>
        </w:tc>
        <w:tc>
          <w:tcPr/>
          <w:p>
            <w:pPr>
              <w:pStyle w:val="Compact"/>
            </w:pPr>
            <w:r>
              <w:t xml:space="preserve">Кто выдаёт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выгодоприобретателя, свидетельство о смерти, документы о родстве, документы части</w:t>
            </w:r>
          </w:p>
        </w:tc>
        <w:tc>
          <w:tcPr/>
          <w:p>
            <w:pPr>
              <w:pStyle w:val="Compact"/>
            </w:pPr>
            <w:r>
              <w:t xml:space="preserve">заявитель; документы готовит часть или военкомат</w:t>
            </w:r>
          </w:p>
        </w:tc>
        <w:tc>
          <w:tcPr/>
          <w:p>
            <w:pPr>
              <w:pStyle w:val="Compact"/>
            </w:pPr>
            <w:r>
              <w:t xml:space="preserve">приказ № 755; полный перечень уточняйте в части или военкомате — документы для страховщика готовят они</w:t>
            </w:r>
          </w:p>
        </w:tc>
      </w:tr>
    </w:tbl>
    <w:p>
      <w:pPr>
        <w:pStyle w:val="BodyText"/>
      </w:pPr>
      <w:r>
        <w:t xml:space="preserve">При гибели страховую сумму получают выгодоприобретатели, названные в законе: супруг, родители, несовершеннолетние дети, дети старше 18 лет, ставшие инвалидами до 18 лет, и дети до 23 лет, которые учатся, а при определённых условиях и другие лица. Страховую сумму по 52-ФЗ, как правило, выплачивает страховщик ведомства, а если договор не заключён — само ведомство. Срок — 15 дней со дня получения всех документов, при судебном споре о выгодоприобретателях — со дня получения решения суда (п. 4 ст. 11 закона № 52-ФЗ).</w:t>
      </w:r>
    </w:p>
    <w:bookmarkEnd w:id="12"/>
    <w:bookmarkStart w:id="13" w:name="X3c4667f7493f649b38266042890c71487f962a5"/>
    <w:p>
      <w:pPr>
        <w:pStyle w:val="Heading2"/>
      </w:pPr>
      <w:r>
        <w:t xml:space="preserve">4. Ежемесячная денежная компенсация членам семьи погибшего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Что подать</w:t>
            </w:r>
          </w:p>
        </w:tc>
        <w:tc>
          <w:tcPr/>
          <w:p>
            <w:pPr>
              <w:pStyle w:val="Compact"/>
            </w:pPr>
            <w:r>
              <w:t xml:space="preserve">Кто выдаёт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каждого члена семьи — по рекомендуемому образцу</w:t>
            </w:r>
          </w:p>
        </w:tc>
        <w:tc>
          <w:tcPr/>
          <w:p>
            <w:pPr>
              <w:pStyle w:val="Compact"/>
            </w:pPr>
            <w:r>
              <w:t xml:space="preserve">заявитель</w:t>
            </w:r>
          </w:p>
        </w:tc>
        <w:tc>
          <w:tcPr/>
          <w:p>
            <w:pPr>
              <w:pStyle w:val="Compact"/>
            </w:pPr>
            <w:r>
              <w:t xml:space="preserve">приказ № 560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Документ, удостоверяющий личность</w:t>
            </w:r>
          </w:p>
        </w:tc>
        <w:tc>
          <w:tcPr/>
          <w:p>
            <w:pPr>
              <w:pStyle w:val="Compact"/>
            </w:pPr>
            <w:r>
              <w:t xml:space="preserve">МВД</w:t>
            </w:r>
          </w:p>
        </w:tc>
        <w:tc>
          <w:tcPr/>
          <w:p>
            <w:pPr>
              <w:pStyle w:val="Compact"/>
            </w:pPr>
            <w:r>
              <w:t xml:space="preserve">постановление № 142, п. 4 Правил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Свидетельство о смерти и документ о гибели при исполнении обязанностей военной службы или заключение ВВК о смерти вследствие военной травмы; для семьи пропавшего без вести — решение суда о признании безвестно отсутствующим или об объявлении умершим</w:t>
            </w:r>
          </w:p>
        </w:tc>
        <w:tc>
          <w:tcPr/>
          <w:p>
            <w:pPr>
              <w:pStyle w:val="Compact"/>
            </w:pPr>
            <w:r>
              <w:t xml:space="preserve">ЗАГС, воинская часть, ВВК, суд</w:t>
            </w:r>
          </w:p>
        </w:tc>
        <w:tc>
          <w:tcPr/>
          <w:p>
            <w:pPr>
              <w:pStyle w:val="Compact"/>
            </w:pPr>
            <w:r>
              <w:t xml:space="preserve">постановление № 142, п. 4 Правил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Документы о родстве; для фактического воспитателя — решение суда</w:t>
            </w:r>
          </w:p>
        </w:tc>
        <w:tc>
          <w:tcPr/>
          <w:p>
            <w:pPr>
              <w:pStyle w:val="Compact"/>
            </w:pPr>
            <w:r>
              <w:t xml:space="preserve">ЗАГС, суд</w:t>
            </w:r>
          </w:p>
        </w:tc>
        <w:tc>
          <w:tcPr/>
          <w:p>
            <w:pPr>
              <w:pStyle w:val="Compact"/>
            </w:pPr>
            <w:r>
              <w:t xml:space="preserve">постановление № 142, п. 4 Правил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Для детей старше 18 лет — справка об очном обучении (каждый учебный год) или сведения об инвалидности, установленной до 18 лет; для ребёнка, окончившего школу после 18 лет, — копия аттестата</w:t>
            </w:r>
          </w:p>
        </w:tc>
        <w:tc>
          <w:tcPr/>
          <w:p>
            <w:pPr>
              <w:pStyle w:val="Compact"/>
            </w:pPr>
            <w:r>
              <w:t xml:space="preserve">образовательная организация, учреждение МСЭ</w:t>
            </w:r>
          </w:p>
        </w:tc>
        <w:tc>
          <w:tcPr/>
          <w:p>
            <w:pPr>
              <w:pStyle w:val="Compact"/>
            </w:pPr>
            <w:r>
              <w:t xml:space="preserve">постановление № 142, п. 4 Правил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Реквизиты банковского счёта</w:t>
            </w:r>
          </w:p>
        </w:tc>
        <w:tc>
          <w:tcPr/>
          <w:p>
            <w:pPr>
              <w:pStyle w:val="Compact"/>
            </w:pPr>
            <w:r>
              <w:t xml:space="preserve">банк</w:t>
            </w:r>
          </w:p>
        </w:tc>
        <w:tc>
          <w:tcPr/>
          <w:p>
            <w:pPr>
              <w:pStyle w:val="Compact"/>
            </w:pPr>
            <w:r>
              <w:t xml:space="preserve">приказ № 560</w:t>
            </w:r>
          </w:p>
        </w:tc>
      </w:tr>
    </w:tbl>
    <w:p>
      <w:pPr>
        <w:pStyle w:val="BodyText"/>
      </w:pPr>
      <w:r>
        <w:t xml:space="preserve">Куда: военный комиссариат по месту жительства члена семьи. Если пенсию по случаю потери кормильца члену семьи платит Социальный фонд, компенсацию назначает Социальный фонд. Военкомат принимает решение в течение 10 рабочих дней, при дополнительной проверке срок могут продлить до 3 месяцев.</w:t>
      </w:r>
    </w:p>
    <w:bookmarkEnd w:id="13"/>
    <w:bookmarkStart w:id="14" w:name="другие-выплаты-семье"/>
    <w:p>
      <w:pPr>
        <w:pStyle w:val="Heading2"/>
      </w:pPr>
      <w:r>
        <w:t xml:space="preserve">5. Другие выплаты семье</w:t>
      </w:r>
    </w:p>
    <w:p>
      <w:pPr>
        <w:pStyle w:val="FirstParagraph"/>
      </w:pPr>
      <w:r>
        <w:t xml:space="preserve">Перечни документов для этих выплат уточняйте в органе, который их назначает.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Выплата</w:t>
            </w:r>
          </w:p>
        </w:tc>
        <w:tc>
          <w:tcPr/>
          <w:p>
            <w:pPr>
              <w:pStyle w:val="Compact"/>
            </w:pPr>
            <w:r>
              <w:t xml:space="preserve">Куда обращаться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Ежемесячное пособие на ребёнка погибшего военнослужащего</w:t>
            </w:r>
          </w:p>
        </w:tc>
        <w:tc>
          <w:tcPr/>
          <w:p>
            <w:pPr>
              <w:pStyle w:val="Compact"/>
            </w:pPr>
            <w:r>
              <w:t xml:space="preserve">в ведомство, которое платит семье пенсию (для Минобороны — военкомат), иначе — Социальный фонд</w:t>
            </w:r>
          </w:p>
        </w:tc>
        <w:tc>
          <w:tcPr/>
          <w:p>
            <w:pPr>
              <w:pStyle w:val="Compact"/>
            </w:pPr>
            <w:r>
              <w:t xml:space="preserve">закон № 128-ФЗ</w:t>
            </w:r>
          </w:p>
        </w:tc>
      </w:tr>
      <w:tr>
        <w:tc>
          <w:tcPr/>
          <w:p>
            <w:pPr>
              <w:pStyle w:val="Compact"/>
            </w:pPr>
            <w:r>
              <w:t xml:space="preserve">ЕДВ членам семей погибших</w:t>
            </w:r>
          </w:p>
        </w:tc>
        <w:tc>
          <w:tcPr/>
          <w:p>
            <w:pPr>
              <w:pStyle w:val="Compact"/>
            </w:pPr>
            <w:r>
              <w:t xml:space="preserve">Социальный фонд, МФЦ или Госуслуги</w:t>
            </w:r>
          </w:p>
        </w:tc>
        <w:tc>
          <w:tcPr/>
          <w:p>
            <w:pPr>
              <w:pStyle w:val="Compact"/>
            </w:pPr>
            <w:r>
              <w:t xml:space="preserve">закон № 5-ФЗ «О ветеранах», ст. 23.1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Компенсация оплаты жилья и коммунальных услуг (60% расходов на долю членов семьи)</w:t>
            </w:r>
          </w:p>
        </w:tc>
        <w:tc>
          <w:tcPr/>
          <w:p>
            <w:pPr>
              <w:pStyle w:val="Compact"/>
            </w:pPr>
            <w:r>
              <w:t xml:space="preserve">Социальный фонд</w:t>
            </w:r>
          </w:p>
        </w:tc>
        <w:tc>
          <w:tcPr/>
          <w:p>
            <w:pPr>
              <w:pStyle w:val="Compact"/>
            </w:pPr>
            <w:r>
              <w:t xml:space="preserve">закон № 76-ФЗ, п. 4 ст. 24; постановление № 475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Сохранённое денежное довольствие семье военнослужащего, попавшего в плен или пропавшего без вести: заявление и документы о совместном проживании</w:t>
            </w:r>
          </w:p>
        </w:tc>
        <w:tc>
          <w:tcPr/>
          <w:p>
            <w:pPr>
              <w:pStyle w:val="Compact"/>
            </w:pPr>
            <w:r>
              <w:t xml:space="preserve">воинская часть (финансовый орган) военнослужащего</w:t>
            </w:r>
          </w:p>
        </w:tc>
        <w:tc>
          <w:tcPr/>
          <w:p>
            <w:pPr>
              <w:pStyle w:val="Compact"/>
            </w:pPr>
            <w:r>
              <w:t xml:space="preserve">закон № 306-ФЗ, ч. 31 ст. 2</w:t>
            </w:r>
          </w:p>
        </w:tc>
      </w:tr>
    </w:tbl>
    <w:bookmarkEnd w:id="14"/>
    <w:bookmarkStart w:id="15" w:name="что-сохранить-у-себя"/>
    <w:p>
      <w:pPr>
        <w:pStyle w:val="Heading2"/>
      </w:pPr>
      <w:r>
        <w:t xml:space="preserve">Что сохранить у себя</w:t>
      </w:r>
    </w:p>
    <w:p>
      <w:pPr>
        <w:pStyle w:val="Compact"/>
        <w:numPr>
          <w:ilvl w:val="0"/>
          <w:numId w:val="1002"/>
        </w:numPr>
      </w:pPr>
      <w:r>
        <w:t xml:space="preserve">Копии всех заявлений с отметкой о приёме или почтовые квитанции.</w:t>
      </w:r>
    </w:p>
    <w:p>
      <w:pPr>
        <w:pStyle w:val="Compact"/>
        <w:numPr>
          <w:ilvl w:val="0"/>
          <w:numId w:val="1002"/>
        </w:numPr>
      </w:pPr>
      <w:r>
        <w:t xml:space="preserve">Копии свидетельства о смерти и документов о родстве — по нескольку экземпляров.</w:t>
      </w:r>
    </w:p>
    <w:p>
      <w:pPr>
        <w:pStyle w:val="Compact"/>
        <w:numPr>
          <w:ilvl w:val="0"/>
          <w:numId w:val="1002"/>
        </w:numPr>
      </w:pPr>
      <w:r>
        <w:t xml:space="preserve">Ответы и уведомления из части, военкомата, Социального фонда и от страховщика.</w:t>
      </w:r>
    </w:p>
    <w:bookmarkEnd w:id="15"/>
    <w:bookmarkStart w:id="16" w:name="основания"/>
    <w:p>
      <w:pPr>
        <w:pStyle w:val="Heading2"/>
      </w:pPr>
      <w:r>
        <w:t xml:space="preserve">Основания</w:t>
      </w:r>
    </w:p>
    <w:p>
      <w:pPr>
        <w:pStyle w:val="Compact"/>
        <w:numPr>
          <w:ilvl w:val="0"/>
          <w:numId w:val="1003"/>
        </w:numPr>
      </w:pPr>
      <w:r>
        <w:t xml:space="preserve">Указ № 98 — Указ Президента РФ от 05.03.2022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семей».</w:t>
      </w:r>
    </w:p>
    <w:p>
      <w:pPr>
        <w:pStyle w:val="Compact"/>
        <w:numPr>
          <w:ilvl w:val="0"/>
          <w:numId w:val="1003"/>
        </w:numPr>
      </w:pPr>
      <w:r>
        <w:t xml:space="preserve">Приказ № 236 — порядок выплат по Указу № 98 в Вооружённых Силах, утверждённый приказом Министра обороны РФ № 236, с изменениями от 24.06.2026 № 421.</w:t>
      </w:r>
    </w:p>
    <w:p>
      <w:pPr>
        <w:pStyle w:val="Compact"/>
        <w:numPr>
          <w:ilvl w:val="0"/>
          <w:numId w:val="1003"/>
        </w:numPr>
      </w:pPr>
      <w:r>
        <w:t xml:space="preserve">Приказ № 665 — порядок выплаты единовременных пособий, утверждённый приказом Министра обороны РФ от 25.10.2025 № 665 (в ред. приказа № 153).</w:t>
      </w:r>
    </w:p>
    <w:p>
      <w:pPr>
        <w:pStyle w:val="Compact"/>
        <w:numPr>
          <w:ilvl w:val="0"/>
          <w:numId w:val="1003"/>
        </w:numPr>
      </w:pPr>
      <w:r>
        <w:t xml:space="preserve">Приказ № 755 — приказ Министра обороны РФ № 755 (оформление документов для страховых сумм).</w:t>
      </w:r>
    </w:p>
    <w:p>
      <w:pPr>
        <w:pStyle w:val="Compact"/>
        <w:numPr>
          <w:ilvl w:val="0"/>
          <w:numId w:val="1003"/>
        </w:numPr>
      </w:pPr>
      <w:r>
        <w:t xml:space="preserve">Приказ № 560 — порядок Министерства обороны РФ о ежемесячной денежной компенсации, утверждённый приказом Министра обороны РФ № 560 (рекомендуемый образец заявления).</w:t>
      </w:r>
    </w:p>
    <w:p>
      <w:pPr>
        <w:pStyle w:val="Compact"/>
        <w:numPr>
          <w:ilvl w:val="0"/>
          <w:numId w:val="1003"/>
        </w:numPr>
      </w:pPr>
      <w:r>
        <w:t xml:space="preserve">Постановление № 142 — Правила выплаты ежемесячной денежной компенсации, утверждённые постановлением Правительства РФ от 22.02.2012 № 142.</w:t>
      </w:r>
    </w:p>
    <w:p>
      <w:pPr>
        <w:pStyle w:val="Compact"/>
        <w:numPr>
          <w:ilvl w:val="0"/>
          <w:numId w:val="1003"/>
        </w:numPr>
      </w:pPr>
      <w:r>
        <w:t xml:space="preserve">Постановление № 475 — постановление Правительства РФ от 02.08.2005 № 475 (компенсация оплаты жилья и коммунальных услуг).</w:t>
      </w:r>
    </w:p>
    <w:p>
      <w:pPr>
        <w:pStyle w:val="Compact"/>
        <w:numPr>
          <w:ilvl w:val="0"/>
          <w:numId w:val="1003"/>
        </w:numPr>
      </w:pPr>
      <w:r>
        <w:t xml:space="preserve">Закон № 306-ФЗ — Федеральный закон от 07.11.2011 № 306-ФЗ «О денежном довольствии военнослужащих и предоставлении им отдельных выплат».</w:t>
      </w:r>
    </w:p>
    <w:p>
      <w:pPr>
        <w:pStyle w:val="Compact"/>
        <w:numPr>
          <w:ilvl w:val="0"/>
          <w:numId w:val="1003"/>
        </w:numPr>
      </w:pPr>
      <w:r>
        <w:t xml:space="preserve">Закон № 52-ФЗ — Федеральный закон от 28.03.1998 № 52-ФЗ об обязательном государственном страховании жизни и здоровья военнослужащих.</w:t>
      </w:r>
    </w:p>
    <w:p>
      <w:pPr>
        <w:pStyle w:val="Compact"/>
        <w:numPr>
          <w:ilvl w:val="0"/>
          <w:numId w:val="1003"/>
        </w:numPr>
      </w:pPr>
      <w:r>
        <w:t xml:space="preserve">Закон № 76-ФЗ — Федеральный закон от 27.05.1998 № 76-ФЗ «О статусе военнослужащих».</w:t>
      </w:r>
    </w:p>
    <w:p>
      <w:pPr>
        <w:pStyle w:val="Compact"/>
        <w:numPr>
          <w:ilvl w:val="0"/>
          <w:numId w:val="1003"/>
        </w:numPr>
      </w:pPr>
      <w:r>
        <w:t xml:space="preserve">Закон № 5-ФЗ — Федеральный закон от 12.01.1995 № 5-ФЗ «О ветеранах».</w:t>
      </w:r>
    </w:p>
    <w:p>
      <w:pPr>
        <w:pStyle w:val="Compact"/>
        <w:numPr>
          <w:ilvl w:val="0"/>
          <w:numId w:val="1003"/>
        </w:numPr>
      </w:pPr>
      <w:r>
        <w:t xml:space="preserve">Закон № 128-ФЗ — Федеральный закон от 04.06.2011 № 128-ФЗ «О пособии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обязанностей)…».</w: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2026-10-06T06:38:14Z</dcterms:created>
  <dcterms:modified xsi:type="dcterms:W3CDTF">2026-10-06T06:38:14Z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