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" w:name="X6406aef0b2c0950055aa18841eec575dcc93f26"/>
    <w:p>
      <w:pPr>
        <w:pStyle w:val="Heading1"/>
      </w:pPr>
      <w:r>
        <w:t xml:space="preserve">Документы для жилищной субсидии военнослужащим: перечень</w:t>
      </w:r>
    </w:p>
    <w:p>
      <w:pPr>
        <w:pStyle w:val="FirstParagraph"/>
      </w:pPr>
      <w:r>
        <w:t xml:space="preserve">Жилищную субсидию предоставляют только тем, кто признан нуждающимся в жилом помещении и состоит на учёте. Поэтому документы подают в два этапа: сначала для признания нуждающимся, затем — если в заявлении была выбрана другая форма обеспечения — для перехода на субсидию. Перед подачей уточните в жилищном подразделении, не изменился ли перечень. Полные названия актов — в разделе «Основания» в конце.</w:t>
      </w:r>
    </w:p>
    <w:bookmarkStart w:id="9" w:name="X438b7a6ebaa8ad8684ec2cd12153424cbac25e7"/>
    <w:p>
      <w:pPr>
        <w:pStyle w:val="Heading2"/>
      </w:pPr>
      <w:r>
        <w:t xml:space="preserve">Этап 1. Признание нуждающимся в жилом помещении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Документ</w:t>
            </w:r>
          </w:p>
        </w:tc>
        <w:tc>
          <w:tcPr/>
          <w:p>
            <w:pPr>
              <w:pStyle w:val="Compact"/>
            </w:pPr>
            <w:r>
              <w:t xml:space="preserve">Кто выдаёт</w:t>
            </w:r>
          </w:p>
        </w:tc>
        <w:tc>
          <w:tcPr/>
          <w:p>
            <w:pPr>
              <w:pStyle w:val="Compact"/>
            </w:pPr>
            <w:r>
              <w:t xml:space="preserve">Основание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о признании нуждающимся в жилом помещении — по форме из приложения к Правилам; подписывают военнослужащий и все совершеннолетние члены семьи, в заявлении указывают форму обеспечения и избранное место жительства (если есть право на его выбор)</w:t>
            </w:r>
          </w:p>
        </w:tc>
        <w:tc>
          <w:tcPr/>
          <w:p>
            <w:pPr>
              <w:pStyle w:val="Compact"/>
            </w:pPr>
            <w:r>
              <w:t xml:space="preserve">заявитель</w:t>
            </w:r>
          </w:p>
        </w:tc>
        <w:tc>
          <w:tcPr/>
          <w:p>
            <w:pPr>
              <w:pStyle w:val="Compact"/>
            </w:pPr>
            <w:r>
              <w:t xml:space="preserve">Правила, п. 4, 6; Порядок, п. 4,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Копии паспортов военнослужащего и всех членов семьи с отметками о регистрации по месту жительства</w:t>
            </w:r>
          </w:p>
        </w:tc>
        <w:tc>
          <w:tcPr/>
          <w:p>
            <w:pPr>
              <w:pStyle w:val="Compact"/>
            </w:pPr>
            <w:r>
              <w:t xml:space="preserve">МВД</w:t>
            </w:r>
          </w:p>
        </w:tc>
        <w:tc>
          <w:tcPr/>
          <w:p>
            <w:pPr>
              <w:pStyle w:val="Compact"/>
            </w:pPr>
            <w:r>
              <w:t xml:space="preserve">Правила, п.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Копии свидетельств о рождении детей до 14 лет и документов об их регистрации по месту жительства; при усыновлении — копия свидетельства об усыновлении или решения суда</w:t>
            </w:r>
          </w:p>
        </w:tc>
        <w:tc>
          <w:tcPr/>
          <w:p>
            <w:pPr>
              <w:pStyle w:val="Compact"/>
            </w:pPr>
            <w:r>
              <w:t xml:space="preserve">ЗАГС, МВД, суд</w:t>
            </w:r>
          </w:p>
        </w:tc>
        <w:tc>
          <w:tcPr/>
          <w:p>
            <w:pPr>
              <w:pStyle w:val="Compact"/>
            </w:pPr>
            <w:r>
              <w:t xml:space="preserve">Правила, п.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Копии свидетельств о заключении (расторжении) брака</w:t>
            </w:r>
          </w:p>
        </w:tc>
        <w:tc>
          <w:tcPr/>
          <w:p>
            <w:pPr>
              <w:pStyle w:val="Compact"/>
            </w:pPr>
            <w:r>
              <w:t xml:space="preserve">ЗАГС</w:t>
            </w:r>
          </w:p>
        </w:tc>
        <w:tc>
          <w:tcPr/>
          <w:p>
            <w:pPr>
              <w:pStyle w:val="Compact"/>
            </w:pPr>
            <w:r>
              <w:t xml:space="preserve">Правила, п.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Выписки из домовых книг (поквартирные карточки) и копии финансовых лицевых счетов с мест жительства военнослужащего и членов семьи либо единый жилищный документ — за последние 5 лет до подачи заявления</w:t>
            </w:r>
          </w:p>
        </w:tc>
        <w:tc>
          <w:tcPr/>
          <w:p>
            <w:pPr>
              <w:pStyle w:val="Compact"/>
            </w:pPr>
            <w:r>
              <w:t xml:space="preserve">организация, которая ведёт регистрационный учёт или расчёты за жильё по прежнему месту жительства</w:t>
            </w:r>
          </w:p>
        </w:tc>
        <w:tc>
          <w:tcPr/>
          <w:p>
            <w:pPr>
              <w:pStyle w:val="Compact"/>
            </w:pPr>
            <w:r>
              <w:t xml:space="preserve">Правила, п.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Копии документов о праве на дополнительные социальные гарантии в жилищном обеспечении (если такое право есть)</w:t>
            </w:r>
          </w:p>
        </w:tc>
        <w:tc>
          <w:tcPr/>
          <w:p>
            <w:pPr>
              <w:pStyle w:val="Compact"/>
            </w:pPr>
            <w:r>
              <w:t xml:space="preserve">орган, выдавший документ</w:t>
            </w:r>
          </w:p>
        </w:tc>
        <w:tc>
          <w:tcPr/>
          <w:p>
            <w:pPr>
              <w:pStyle w:val="Compact"/>
            </w:pPr>
            <w:r>
              <w:t xml:space="preserve">Правила, п.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Документы о невозможности получить выписки или лицевые счета — если их нельзя получить по не зависящим от вас причинам</w:t>
            </w:r>
          </w:p>
        </w:tc>
        <w:tc>
          <w:tcPr/>
          <w:p>
            <w:pPr>
              <w:pStyle w:val="Compact"/>
            </w:pPr>
            <w:r>
              <w:t xml:space="preserve">организация, отказавшая в выдаче</w:t>
            </w:r>
          </w:p>
        </w:tc>
        <w:tc>
          <w:tcPr/>
          <w:p>
            <w:pPr>
              <w:pStyle w:val="Compact"/>
            </w:pPr>
            <w:r>
              <w:t xml:space="preserve">Правила, п. 6</w:t>
            </w:r>
          </w:p>
        </w:tc>
      </w:tr>
    </w:tbl>
    <w:p>
      <w:pPr>
        <w:pStyle w:val="BodyText"/>
      </w:pPr>
      <w:r>
        <w:t xml:space="preserve">Копии представляют с подлинниками либо заверенными нотариально или в ином установленном порядке (Правила, п. 6).</w:t>
      </w:r>
    </w:p>
    <w:p>
      <w:pPr>
        <w:pStyle w:val="BodyText"/>
      </w:pPr>
      <w:r>
        <w:t xml:space="preserve">Справку об общей продолжительности военной службы, сведения из ЕГРН о правах на жильё и другие документы, которые есть у государственных органов, жилищное подразделение запрашивает само; заявитель вправе представить их по своей инициативе (Правила, п. 7).</w:t>
      </w:r>
    </w:p>
    <w:bookmarkEnd w:id="9"/>
    <w:bookmarkStart w:id="10" w:name="этап-2.-переход-на-жилищную-субсидию"/>
    <w:p>
      <w:pPr>
        <w:pStyle w:val="Heading2"/>
      </w:pPr>
      <w:r>
        <w:t xml:space="preserve">Этап 2. Переход на жилищную субсидию</w:t>
      </w:r>
    </w:p>
    <w:p>
      <w:pPr>
        <w:pStyle w:val="FirstParagraph"/>
      </w:pPr>
      <w:r>
        <w:t xml:space="preserve">Этот этап нужен, если в заявлении выбрано жилое помещение в собственность бесплатно или по договору социального найма, а теперь решено получить субсидию.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Документ</w:t>
            </w:r>
          </w:p>
        </w:tc>
        <w:tc>
          <w:tcPr/>
          <w:p>
            <w:pPr>
              <w:pStyle w:val="Compact"/>
            </w:pPr>
            <w:r>
              <w:t xml:space="preserve">Кто выдаёт</w:t>
            </w:r>
          </w:p>
        </w:tc>
        <w:tc>
          <w:tcPr/>
          <w:p>
            <w:pPr>
              <w:pStyle w:val="Compact"/>
            </w:pPr>
            <w:r>
              <w:t xml:space="preserve">Основание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об изменении формы обеспечения жилым помещением и предоставлении жилищной субсидии — рекомендуемый образец в приложении № 5 к Порядку; подписывают гражданин и все совершеннолетние члены семьи, за несовершеннолетних — законные представители</w:t>
            </w:r>
          </w:p>
        </w:tc>
        <w:tc>
          <w:tcPr/>
          <w:p>
            <w:pPr>
              <w:pStyle w:val="Compact"/>
            </w:pPr>
            <w:r>
              <w:t xml:space="preserve">заявитель</w:t>
            </w:r>
          </w:p>
        </w:tc>
        <w:tc>
          <w:tcPr/>
          <w:p>
            <w:pPr>
              <w:pStyle w:val="Compact"/>
            </w:pPr>
            <w:r>
              <w:t xml:space="preserve">Порядок, п. 49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Копия договора об открытии банковского счёта или иной документ банка с реквизитами счёта</w:t>
            </w:r>
          </w:p>
        </w:tc>
        <w:tc>
          <w:tcPr/>
          <w:p>
            <w:pPr>
              <w:pStyle w:val="Compact"/>
            </w:pPr>
            <w:r>
              <w:t xml:space="preserve">банк</w:t>
            </w:r>
          </w:p>
        </w:tc>
        <w:tc>
          <w:tcPr/>
          <w:p>
            <w:pPr>
              <w:pStyle w:val="Compact"/>
            </w:pPr>
            <w:r>
              <w:t xml:space="preserve">Порядок, п. 49</w:t>
            </w:r>
          </w:p>
        </w:tc>
      </w:tr>
    </w:tbl>
    <w:p>
      <w:pPr>
        <w:pStyle w:val="BodyText"/>
      </w:pPr>
      <w:r>
        <w:t xml:space="preserve">Если реквизиты счёта не представлены, субсидию перечисляют военнослужащему на счёт, куда поступает денежное довольствие, а уволенным и членам семьи погибшего — на счёт, куда Минобороны перечисляет пенсию или другие выплаты (Порядок, п. 59).</w:t>
      </w:r>
    </w:p>
    <w:bookmarkEnd w:id="10"/>
    <w:bookmarkStart w:id="11" w:name="куда-подавать-и-сроки"/>
    <w:p>
      <w:pPr>
        <w:pStyle w:val="Heading2"/>
      </w:pPr>
      <w:r>
        <w:t xml:space="preserve">Куда подавать и сроки</w:t>
      </w:r>
    </w:p>
    <w:p>
      <w:pPr>
        <w:pStyle w:val="Compact"/>
        <w:numPr>
          <w:ilvl w:val="0"/>
          <w:numId w:val="1001"/>
        </w:numPr>
      </w:pPr>
      <w:r>
        <w:t xml:space="preserve">Куда: в подразделение уполномоченного учреждения Минобороны (ФГАУ «Центральное управление жилищно-социальной инфраструктуры (комплекса)») по месту военной службы; члены семьи погибшего — по месту жительства (Порядок, п. 1, 4).</w:t>
      </w:r>
    </w:p>
    <w:p>
      <w:pPr>
        <w:pStyle w:val="Compact"/>
        <w:numPr>
          <w:ilvl w:val="0"/>
          <w:numId w:val="1001"/>
        </w:numPr>
      </w:pPr>
      <w:r>
        <w:t xml:space="preserve">Как: лично; почтой с уведомлением о вручении или другим способом, который подтверждает дату отправки и получения, — тогда подписи военнослужащего и совершеннолетних членов семьи заверяют нотариально или в ином установленном порядке; через представителя по доверенности, удостоверенной нотариально или в ином установленном законом порядке, с копией документа, удостоверяющего его личность (Порядок, п. 5). При приёме выдают расписку (Порядок, п. 7).</w:t>
      </w:r>
    </w:p>
    <w:p>
      <w:pPr>
        <w:pStyle w:val="Compact"/>
        <w:numPr>
          <w:ilvl w:val="0"/>
          <w:numId w:val="1001"/>
        </w:numPr>
      </w:pPr>
      <w:r>
        <w:t xml:space="preserve">Решение о принятии на учёт или об отказе — не позднее 30 рабочих дней со дня подачи заявления и документов (Правила, п. 10); решение выдают или направляют в течение 3 рабочих дней (Порядок, п. 12).</w:t>
      </w:r>
    </w:p>
    <w:p>
      <w:pPr>
        <w:pStyle w:val="Compact"/>
        <w:numPr>
          <w:ilvl w:val="0"/>
          <w:numId w:val="1001"/>
        </w:numPr>
      </w:pPr>
      <w:r>
        <w:t xml:space="preserve">Решение о предоставлении субсидии принимают при наличии бюджетных лимитов; после поступления выписки из решения финансовый орган перечисляет субсидию в течение 10 рабочих дней (Порядок, п. 57, 61).</w:t>
      </w:r>
    </w:p>
    <w:p>
      <w:pPr>
        <w:pStyle w:val="Compact"/>
        <w:numPr>
          <w:ilvl w:val="0"/>
          <w:numId w:val="1001"/>
        </w:numPr>
      </w:pPr>
      <w:r>
        <w:t xml:space="preserve">Увольняющимся заявление и документы нужно подать заранее, чтобы решение успели принять до исключения из списков части (Правила, п. 11).</w:t>
      </w:r>
    </w:p>
    <w:p>
      <w:pPr>
        <w:pStyle w:val="Compact"/>
        <w:numPr>
          <w:ilvl w:val="0"/>
          <w:numId w:val="1001"/>
        </w:numPr>
      </w:pPr>
      <w:r>
        <w:t xml:space="preserve">Размер субсидии рассчитывают по правилам, утверждённым постановлением Правительства № 76, на дату решения о её предоставлении (Порядок, п. 55).</w:t>
      </w:r>
    </w:p>
    <w:bookmarkEnd w:id="11"/>
    <w:bookmarkStart w:id="12" w:name="основания"/>
    <w:p>
      <w:pPr>
        <w:pStyle w:val="Heading2"/>
      </w:pPr>
      <w:r>
        <w:t xml:space="preserve">Основания</w:t>
      </w:r>
    </w:p>
    <w:p>
      <w:pPr>
        <w:pStyle w:val="Compact"/>
        <w:numPr>
          <w:ilvl w:val="0"/>
          <w:numId w:val="1002"/>
        </w:numPr>
      </w:pPr>
      <w:r>
        <w:t xml:space="preserve">Правила — Правила признания военнослужащих — граждан Российской Федерации, проходящих военную службу по контракту, нуждающимися в жилых помещениях, утверждённые постановлением Правительства РФ от 30.10.2020 № 1768 (форма заявления — в приложении к Правилам).</w:t>
      </w:r>
    </w:p>
    <w:p>
      <w:pPr>
        <w:pStyle w:val="Compact"/>
        <w:numPr>
          <w:ilvl w:val="0"/>
          <w:numId w:val="1002"/>
        </w:numPr>
      </w:pPr>
      <w:r>
        <w:t xml:space="preserve">Порядок — порядок признания нуждающимися в жилых помещениях и предоставления жилищной субсидии в Минобороны, утверждённый приказом Министра обороны РФ от 19.04.2023 № 222.</w:t>
      </w:r>
    </w:p>
    <w:p>
      <w:pPr>
        <w:pStyle w:val="Compact"/>
        <w:numPr>
          <w:ilvl w:val="0"/>
          <w:numId w:val="1002"/>
        </w:numPr>
      </w:pPr>
      <w:r>
        <w:t xml:space="preserve">Постановление № 76 — постановление Правительства РФ от 03.02.2014 № 76 (правила расчёта жилищной субсидии).</w:t>
      </w:r>
    </w:p>
    <w:p>
      <w:pPr>
        <w:pStyle w:val="Compact"/>
        <w:numPr>
          <w:ilvl w:val="0"/>
          <w:numId w:val="1002"/>
        </w:numPr>
      </w:pPr>
      <w:r>
        <w:t xml:space="preserve">Закон № 76-ФЗ — Федеральный закон от 27.05.1998 № 76-ФЗ «О статусе военнослужащих», ст. 15 (право на жилищное обеспечение).</w:t>
      </w:r>
    </w:p>
    <w:p>
      <w:pPr>
        <w:pStyle w:val="FirstParagraph"/>
      </w:pPr>
      <w:r>
        <w:t xml:space="preserve">Образец составлен справочным сайтом «СВО-Навигатор». Это не официальная форма ведомства: если орган утвердил свою форму, заполните её.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2026-10-06T06:38:15Z</dcterms:created>
  <dcterms:modified xsi:type="dcterms:W3CDTF">2026-10-06T06:38:15Z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