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документы-для-военной-пенсии-перечень"/>
    <w:p>
      <w:pPr>
        <w:pStyle w:val="Heading1"/>
      </w:pPr>
      <w:r>
        <w:t xml:space="preserve">Документы для военной пенсии: перечень</w:t>
      </w:r>
    </w:p>
    <w:p>
      <w:pPr>
        <w:pStyle w:val="FirstParagraph"/>
      </w:pPr>
      <w:r>
        <w:t xml:space="preserve">Перечень относится к пенсиям по Закону РФ от 12.02.1993 № 4468-1, которые назначает Минобороны: за выслугу лет, по инвалидности и по случаю потери кормильца. Состав документов установлен Порядком организации работы по пенсионному обеспечению в Министерстве обороны (приказ Министра обороны от 15.12.2023 № 845, с изменениями приказа от 30.06.2025 № 413). Пенсию по инвалидности тем, кто проходил службу по призыву, назначает Социальный фонд — этот перечень к ней не относится.</w:t>
      </w:r>
    </w:p>
    <w:p>
      <w:pPr>
        <w:pStyle w:val="BodyText"/>
      </w:pPr>
      <w:r>
        <w:t xml:space="preserve">Документы, которые есть у государственных органов, органов местного самоуправления и подведомственных им организаций, приносить не обязательно: военкомат сам запрашивает их в течение 5 рабочих дней после поступления заявления (ст. 51 Закона № 4468-1; п. 12 Порядка). Личные документы, например документ, удостоверяющий личность, это правило не охватывает. Принести любые документы по своей инициативе можно.</w:t>
      </w:r>
    </w:p>
    <w:p>
      <w:pPr>
        <w:pStyle w:val="BodyText"/>
      </w:pPr>
      <w:r>
        <w:t xml:space="preserve">Перечень составлен по пунктам 13–19 Порядка. В отдельных случаях Порядок требует и другие документы: для надбавки к пенсии на нетрудоспособных иждивенцев — по п. 20 (они собраны в перечне документов для надбавок и повышений к военной пенсии); тем, кто переехал в Россию из других государств, — документы о снятии с регистрационного учёта и о прекращении выплаты пенсии там (п. 23); при переводе с одного вида пенсии на другой — документы для нового вида пенсии (п. 24); если фамилия, имя или отчество в документах не совпадают — документы, подтверждающие, что документ принадлежит вам (п. 25). Каких документов не хватает в вашем случае, военкомат указывает в уведомлении о приёме заявления.</w:t>
      </w:r>
    </w:p>
    <w:bookmarkStart w:id="9" w:name="что-оформляют-без-вашего-участия"/>
    <w:p>
      <w:pPr>
        <w:pStyle w:val="Heading2"/>
      </w:pPr>
      <w:r>
        <w:t xml:space="preserve">1. Что оформляют без вашего участия</w:t>
      </w:r>
    </w:p>
    <w:p>
      <w:pPr>
        <w:pStyle w:val="Compact"/>
        <w:numPr>
          <w:ilvl w:val="0"/>
          <w:numId w:val="1001"/>
        </w:numPr>
      </w:pPr>
      <w:r>
        <w:t xml:space="preserve">Проверенные и заверенные периоды службы в послужном списке личного дела, в том числе льготные — с указанием актов, по которым они засчитываются. Оформляет кадровый орган воинской части перед увольнением (п. 10 Порядка).</w:t>
      </w:r>
    </w:p>
    <w:p>
      <w:pPr>
        <w:pStyle w:val="Compact"/>
        <w:numPr>
          <w:ilvl w:val="0"/>
          <w:numId w:val="1001"/>
        </w:numPr>
      </w:pPr>
      <w:r>
        <w:t xml:space="preserve">Расчёт выслуги лет на пенсию (или расчёт общего трудового стажа). Составляет управление финансового обеспечения Минобороны по военному округу или Департамент социальных гарантий по материалам личного дела; один экземпляр приобщается к личному делу (пп. 2, 10 Порядка).</w:t>
      </w:r>
    </w:p>
    <w:p>
      <w:pPr>
        <w:pStyle w:val="Compact"/>
        <w:numPr>
          <w:ilvl w:val="0"/>
          <w:numId w:val="1001"/>
        </w:numPr>
      </w:pPr>
      <w:r>
        <w:t xml:space="preserve">Личное дело для оформления пенсии. Кадровый орган направляет его в военкомат по избранному месту жительства не позднее 7 рабочих дней со дня приказа об исключении из списков части (п. 10 Порядка).</w:t>
      </w:r>
    </w:p>
    <w:p>
      <w:pPr>
        <w:pStyle w:val="Compact"/>
        <w:numPr>
          <w:ilvl w:val="0"/>
          <w:numId w:val="1001"/>
        </w:numPr>
      </w:pPr>
      <w:r>
        <w:t xml:space="preserve">Денежный аттестат. Высылает федеральное казённое учреждение «Военно-социальный центр» Минобороны или финансовый орган, где военнослужащий состоял на довольствии, в течение 5 рабочих дней со дня приказа об исключении из списков (п. 11 Порядка в ред. приказа № 413).</w:t>
      </w:r>
    </w:p>
    <w:p>
      <w:pPr>
        <w:pStyle w:val="Compact"/>
        <w:numPr>
          <w:ilvl w:val="0"/>
          <w:numId w:val="1001"/>
        </w:numPr>
      </w:pPr>
      <w:r>
        <w:t xml:space="preserve">Копии из личного дела: рапорт об увольнении, послужной список, выписки из приказов об увольнении и исключении из списков, медицинские документы о ранении (травме, заболевании), документы о службе в районах Крайнего Севера, представление к увольнению, расчёт выслуги. Военкомат муниципального образования сам приобщает их к заявлению (п. 27 Порядка).</w:t>
      </w:r>
    </w:p>
    <w:p>
      <w:pPr>
        <w:pStyle w:val="FirstParagraph"/>
      </w:pPr>
      <w:r>
        <w:t xml:space="preserve">Расчёт выслуги действителен 5 лет со дня составления, а если военнослужащий в этот момент служит в условиях льготного зачёта — 1 год (п. 10 Порядка).</w:t>
      </w:r>
    </w:p>
    <w:bookmarkEnd w:id="9"/>
    <w:bookmarkStart w:id="10" w:name="пенсия-за-выслугу-лет"/>
    <w:p>
      <w:pPr>
        <w:pStyle w:val="Heading2"/>
      </w:pPr>
      <w:r>
        <w:t xml:space="preserve">2. Пенсия за выслугу лет</w:t>
      </w:r>
    </w:p>
    <w:p>
      <w:pPr>
        <w:pStyle w:val="Compact"/>
        <w:numPr>
          <w:ilvl w:val="0"/>
          <w:numId w:val="1002"/>
        </w:numPr>
      </w:pPr>
      <w:r>
        <w:t xml:space="preserve">Заявление о назначении (возобновлении выплаты) пенсии — рекомендуемый образец в приложении № 3 к Порядку. Заполняет заявитель. Если нет регистрации по месту жительства, в заявлении указывают адрес фактического проживания в России; проживающие в стационарной организации социального обслуживания прикладывают её документ о пребывании (подп. 1 п. 13 Порядка).</w:t>
      </w:r>
    </w:p>
    <w:p>
      <w:pPr>
        <w:pStyle w:val="Compact"/>
        <w:numPr>
          <w:ilvl w:val="0"/>
          <w:numId w:val="1002"/>
        </w:numPr>
      </w:pPr>
      <w:r>
        <w:t xml:space="preserve">Паспорт или другой документ, удостоверяющий личность, возраст и гражданство (подп. 2 п. 13).</w:t>
      </w:r>
    </w:p>
    <w:p>
      <w:pPr>
        <w:pStyle w:val="Compact"/>
        <w:numPr>
          <w:ilvl w:val="0"/>
          <w:numId w:val="1002"/>
        </w:numPr>
      </w:pPr>
      <w:r>
        <w:t xml:space="preserve">Денежный аттестат, если он у вас на руках (подп. 3 п. 13).</w:t>
      </w:r>
    </w:p>
    <w:p>
      <w:pPr>
        <w:pStyle w:val="Compact"/>
        <w:numPr>
          <w:ilvl w:val="0"/>
          <w:numId w:val="1002"/>
        </w:numPr>
      </w:pPr>
      <w:r>
        <w:t xml:space="preserve">Копии документов о праве на меры социальной поддержки, например удостоверения ветерана боевых действий. Выдаёт орган, выдавший удостоверение (подп. 4 п. 13).</w:t>
      </w:r>
    </w:p>
    <w:p>
      <w:pPr>
        <w:pStyle w:val="Compact"/>
        <w:numPr>
          <w:ilvl w:val="0"/>
          <w:numId w:val="1002"/>
        </w:numPr>
      </w:pPr>
      <w:r>
        <w:t xml:space="preserve">Копии документов нетрудоспособных членов семьи на иждивении и документов о родстве с ними. Выдают ЗАГС, суд, образовательная организация и другие органы (подп. 5 п. 13).</w:t>
      </w:r>
    </w:p>
    <w:p>
      <w:pPr>
        <w:pStyle w:val="Compact"/>
        <w:numPr>
          <w:ilvl w:val="0"/>
          <w:numId w:val="1002"/>
        </w:numPr>
      </w:pPr>
      <w:r>
        <w:t xml:space="preserve">Справка Социального фонда (иного пенсионного органа) о неполучении пенсии или прекращении её выплаты (подп. 6 п. 13).</w:t>
      </w:r>
    </w:p>
    <w:p>
      <w:pPr>
        <w:pStyle w:val="Compact"/>
        <w:numPr>
          <w:ilvl w:val="0"/>
          <w:numId w:val="1002"/>
        </w:numPr>
      </w:pPr>
      <w:r>
        <w:t xml:space="preserve">Копия страхового свидетельства (СНИЛС) (подп. 7 п. 13).</w:t>
      </w:r>
    </w:p>
    <w:p>
      <w:pPr>
        <w:pStyle w:val="Compact"/>
        <w:numPr>
          <w:ilvl w:val="0"/>
          <w:numId w:val="1002"/>
        </w:numPr>
      </w:pPr>
      <w:r>
        <w:t xml:space="preserve">Согласие на обработку персональных данных — рекомендуемый образец в приложении № 4 к Порядку. Заполняет заявитель (подп. 8 п. 13).</w:t>
      </w:r>
    </w:p>
    <w:p>
      <w:pPr>
        <w:pStyle w:val="Compact"/>
        <w:numPr>
          <w:ilvl w:val="0"/>
          <w:numId w:val="1002"/>
        </w:numPr>
      </w:pPr>
      <w:r>
        <w:t xml:space="preserve">Выписка из акта медико-социальной экспертизы или сведения об инвалидности в государственной информационной системе «Единая централизованная цифровая платформа в социальной сфере» — если есть инвалидность (подп. 9 п. 13).</w:t>
      </w:r>
    </w:p>
    <w:p>
      <w:pPr>
        <w:pStyle w:val="Compact"/>
        <w:numPr>
          <w:ilvl w:val="0"/>
          <w:numId w:val="1002"/>
        </w:numPr>
      </w:pPr>
      <w:r>
        <w:t xml:space="preserve">Реквизиты банковского счёта (банковской карты) (подп. 10 п. 13 в ред. приказа № 413).</w:t>
      </w:r>
    </w:p>
    <w:bookmarkEnd w:id="10"/>
    <w:bookmarkStart w:id="11" w:name="пенсия-по-инвалидности"/>
    <w:p>
      <w:pPr>
        <w:pStyle w:val="Heading2"/>
      </w:pPr>
      <w:r>
        <w:t xml:space="preserve">3. Пенсия по инвалидности</w:t>
      </w:r>
    </w:p>
    <w:p>
      <w:pPr>
        <w:pStyle w:val="FirstParagraph"/>
      </w:pPr>
      <w:r>
        <w:t xml:space="preserve">Нужны те же документы, что в разделе 2, и дополнительно:</w:t>
      </w:r>
    </w:p>
    <w:p>
      <w:pPr>
        <w:pStyle w:val="Compact"/>
        <w:numPr>
          <w:ilvl w:val="0"/>
          <w:numId w:val="1003"/>
        </w:numPr>
      </w:pPr>
      <w:r>
        <w:t xml:space="preserve">Заключение военно-врачебной комиссии о причинной связи увечья (ранения, травмы, контузии) или заболевания с военной службой, а если его нет в личном деле — заключение по итогам расследования факта получения увечья. Выдают военно-врачебная комиссия или командование воинской части (подп. 4 п. 14 Порядка).</w:t>
      </w:r>
    </w:p>
    <w:p>
      <w:pPr>
        <w:pStyle w:val="Compact"/>
        <w:numPr>
          <w:ilvl w:val="0"/>
          <w:numId w:val="1003"/>
        </w:numPr>
      </w:pPr>
      <w:r>
        <w:t xml:space="preserve">Выписка из акта медико-социальной экспертизы или сведения об инвалидности в той же государственной информационной системе (подп. 5 п. 14).</w:t>
      </w:r>
    </w:p>
    <w:bookmarkEnd w:id="11"/>
    <w:bookmarkStart w:id="12" w:name="пенсия-по-случаю-потери-кормильца"/>
    <w:p>
      <w:pPr>
        <w:pStyle w:val="Heading2"/>
      </w:pPr>
      <w:r>
        <w:t xml:space="preserve">4. Пенсия по случаю потери кормильца</w:t>
      </w:r>
    </w:p>
    <w:p>
      <w:pPr>
        <w:pStyle w:val="Compact"/>
        <w:numPr>
          <w:ilvl w:val="0"/>
          <w:numId w:val="1004"/>
        </w:numPr>
      </w:pPr>
      <w:r>
        <w:t xml:space="preserve">Заявление — рекомендуемый образец в приложении № 5 к Порядку. Заполняет заявитель (подп. 1 п. 15 Порядка). Если нет регистрации по месту жительства, в заявлении указывают адрес фактического проживания в России; проживающие в стационарной организации социального обслуживания прикладывают её документ о пребывании.</w:t>
      </w:r>
    </w:p>
    <w:p>
      <w:pPr>
        <w:pStyle w:val="Compact"/>
        <w:numPr>
          <w:ilvl w:val="0"/>
          <w:numId w:val="1004"/>
        </w:numPr>
      </w:pPr>
      <w:r>
        <w:t xml:space="preserve">Документ, удостоверяющий личность (подп. 2 п. 15).</w:t>
      </w:r>
    </w:p>
    <w:p>
      <w:pPr>
        <w:pStyle w:val="Compact"/>
        <w:numPr>
          <w:ilvl w:val="0"/>
          <w:numId w:val="1004"/>
        </w:numPr>
      </w:pPr>
      <w:r>
        <w:t xml:space="preserve">Постановление следственных органов или решение суда об обстоятельствах смерти (гибели) и (или) заключение военно-врачебной комиссии о причинной связи, а если его нет — заключение по итогам расследования (подп. 3 п. 15).</w:t>
      </w:r>
    </w:p>
    <w:p>
      <w:pPr>
        <w:pStyle w:val="Compact"/>
        <w:numPr>
          <w:ilvl w:val="0"/>
          <w:numId w:val="1004"/>
        </w:numPr>
      </w:pPr>
      <w:r>
        <w:t xml:space="preserve">Копия свидетельства о смерти кормильца или решения суда о признании безвестно отсутствующим либо об объявлении умершим (подп. 4 п. 15).</w:t>
      </w:r>
    </w:p>
    <w:p>
      <w:pPr>
        <w:pStyle w:val="Compact"/>
        <w:numPr>
          <w:ilvl w:val="0"/>
          <w:numId w:val="1004"/>
        </w:numPr>
      </w:pPr>
      <w:r>
        <w:t xml:space="preserve">Справка Социального фонда (иного пенсионного органа) о неполучении пенсии (подп. 5 п. 15).</w:t>
      </w:r>
    </w:p>
    <w:p>
      <w:pPr>
        <w:pStyle w:val="Compact"/>
        <w:numPr>
          <w:ilvl w:val="0"/>
          <w:numId w:val="1004"/>
        </w:numPr>
      </w:pPr>
      <w:r>
        <w:t xml:space="preserve">Копия СНИЛС, копии документов о праве на меры социальной поддержки, копии документов о родстве с кормильцем (подп. 6–8 п. 15).</w:t>
      </w:r>
    </w:p>
    <w:p>
      <w:pPr>
        <w:pStyle w:val="Compact"/>
        <w:numPr>
          <w:ilvl w:val="0"/>
          <w:numId w:val="1004"/>
        </w:numPr>
      </w:pPr>
      <w:r>
        <w:t xml:space="preserve">Выписка из акта медико-социальной экспертизы или сведения об инвалидности в государственной информационной системе — если есть инвалидность (подп. 9 п. 15).</w:t>
      </w:r>
    </w:p>
    <w:p>
      <w:pPr>
        <w:pStyle w:val="Compact"/>
        <w:numPr>
          <w:ilvl w:val="0"/>
          <w:numId w:val="1004"/>
        </w:numPr>
      </w:pPr>
      <w:r>
        <w:t xml:space="preserve">Справка о составе семьи и совместном проживании. Выдаёт орган регистрационного учёта, управляющая организация или другой орган, у которого есть эти сведения (подп. 10 п. 15).</w:t>
      </w:r>
    </w:p>
    <w:p>
      <w:pPr>
        <w:pStyle w:val="Compact"/>
        <w:numPr>
          <w:ilvl w:val="0"/>
          <w:numId w:val="1004"/>
        </w:numPr>
      </w:pPr>
      <w:r>
        <w:t xml:space="preserve">Согласие на обработку персональных данных (подп. 11 п. 15).</w:t>
      </w:r>
    </w:p>
    <w:p>
      <w:pPr>
        <w:pStyle w:val="Compact"/>
        <w:numPr>
          <w:ilvl w:val="0"/>
          <w:numId w:val="1004"/>
        </w:numPr>
      </w:pPr>
      <w:r>
        <w:t xml:space="preserve">Документы о нахождении на иждивении кормильца на дату смерти — кроме членов семьи из ч. 2 ст. 29 Закона № 4468-1: сведения о доходах, о совместном проживании и другие (подп. 12 п. 15).</w:t>
      </w:r>
    </w:p>
    <w:p>
      <w:pPr>
        <w:pStyle w:val="Compact"/>
        <w:numPr>
          <w:ilvl w:val="0"/>
          <w:numId w:val="1004"/>
        </w:numPr>
      </w:pPr>
      <w:r>
        <w:t xml:space="preserve">Реквизиты банковского счёта (банковской карты) (подп. 13 п. 15).</w:t>
      </w:r>
    </w:p>
    <w:p>
      <w:pPr>
        <w:pStyle w:val="FirstParagraph"/>
      </w:pPr>
      <w:r>
        <w:t xml:space="preserve">Дополнительно — в зависимости от того, кто обращается:</w:t>
      </w:r>
    </w:p>
    <w:p>
      <w:pPr>
        <w:pStyle w:val="Compact"/>
        <w:numPr>
          <w:ilvl w:val="0"/>
          <w:numId w:val="1005"/>
        </w:numPr>
      </w:pPr>
      <w:r>
        <w:t xml:space="preserve">детям, пасынкам, падчерицам, братьям, сёстрам, внукам: свидетельства о рождении; справка об очном обучении для тех, кому от 18 до 23 лет (потом её приносят два раза в год — в сентябре и марте); документы об отсутствии родителей, об усыновлении, об алиментах, об опеке (п. 17 Порядка);</w:t>
      </w:r>
    </w:p>
    <w:p>
      <w:pPr>
        <w:pStyle w:val="Compact"/>
        <w:numPr>
          <w:ilvl w:val="0"/>
          <w:numId w:val="1005"/>
        </w:numPr>
      </w:pPr>
      <w:r>
        <w:t xml:space="preserve">супругу: копия свидетельства о браке; документы об алиментах (при наличии); для ухаживающих за ребёнком до 14 лет — документ о том, что супруг не работает (п. 18 Порядка);</w:t>
      </w:r>
    </w:p>
    <w:p>
      <w:pPr>
        <w:pStyle w:val="Compact"/>
        <w:numPr>
          <w:ilvl w:val="0"/>
          <w:numId w:val="1005"/>
        </w:numPr>
      </w:pPr>
      <w:r>
        <w:t xml:space="preserve">родителям: копия свидетельства о рождении погибшего (умершего) или решения суда о родстве; для отчима и мачехи — документы о воспитании или содержании не менее 5 лет (п. 19 Порядка).</w:t>
      </w:r>
    </w:p>
    <w:p>
      <w:pPr>
        <w:pStyle w:val="FirstParagraph"/>
      </w:pPr>
      <w:r>
        <w:t xml:space="preserve">Если иждивение не удаётся подтвердить документами, военкомат составляет заключение об иждивении, а если установить факт так невозможно — его устанавливают в суде (п. 16 Порядка).</w:t>
      </w:r>
    </w:p>
    <w:bookmarkEnd w:id="12"/>
    <w:bookmarkStart w:id="13" w:name="если-заявление-подаёт-представитель"/>
    <w:p>
      <w:pPr>
        <w:pStyle w:val="Heading2"/>
      </w:pPr>
      <w:r>
        <w:t xml:space="preserve">5. Если заявление подаёт представитель</w:t>
      </w:r>
    </w:p>
    <w:p>
      <w:pPr>
        <w:pStyle w:val="Compact"/>
        <w:numPr>
          <w:ilvl w:val="0"/>
          <w:numId w:val="1006"/>
        </w:numPr>
      </w:pPr>
      <w:r>
        <w:t xml:space="preserve">Законный представитель — документы, удостоверяющие личность и полномочия (п. 21 Порядка).</w:t>
      </w:r>
    </w:p>
    <w:p>
      <w:pPr>
        <w:pStyle w:val="Compact"/>
        <w:numPr>
          <w:ilvl w:val="0"/>
          <w:numId w:val="1006"/>
        </w:numPr>
      </w:pPr>
      <w:r>
        <w:t xml:space="preserve">Представитель по доверенности — доверенность и документ, удостоверяющий личность (п. 22 Порядка).</w:t>
      </w:r>
    </w:p>
    <w:bookmarkEnd w:id="13"/>
    <w:bookmarkStart w:id="14" w:name="куда-подавать-и-сколько-ждать"/>
    <w:p>
      <w:pPr>
        <w:pStyle w:val="Heading2"/>
      </w:pPr>
      <w:r>
        <w:t xml:space="preserve">6. Куда подавать и сколько ждать</w:t>
      </w:r>
    </w:p>
    <w:p>
      <w:pPr>
        <w:pStyle w:val="Compact"/>
        <w:numPr>
          <w:ilvl w:val="0"/>
          <w:numId w:val="1007"/>
        </w:numPr>
      </w:pPr>
      <w:r>
        <w:t xml:space="preserve">Заявление подают в военный комиссариат муниципального образования по месту жительства (пребывания) лично, через представителя или по почте (п. 12 Порядка).</w:t>
      </w:r>
    </w:p>
    <w:p>
      <w:pPr>
        <w:pStyle w:val="Compact"/>
        <w:numPr>
          <w:ilvl w:val="0"/>
          <w:numId w:val="1007"/>
        </w:numPr>
      </w:pPr>
      <w:r>
        <w:t xml:space="preserve">О приёме выдают уведомление: дата приёма, принятые документы, недостающие документы и срок их представления (п. 26 Порядка, рекомендуемый образец — приложение № 7).</w:t>
      </w:r>
    </w:p>
    <w:p>
      <w:pPr>
        <w:pStyle w:val="Compact"/>
        <w:numPr>
          <w:ilvl w:val="0"/>
          <w:numId w:val="1007"/>
        </w:numPr>
      </w:pPr>
      <w:r>
        <w:t xml:space="preserve">Днём обращения считается день подачи заявления, а при отправке по почте — дата отправления; если недостающие документы донесены в течение 3 месяцев после разъяснения, днём обращения остаётся день подачи (ст. 54 Закона № 4468-1).</w:t>
      </w:r>
    </w:p>
    <w:p>
      <w:pPr>
        <w:pStyle w:val="Compact"/>
        <w:numPr>
          <w:ilvl w:val="0"/>
          <w:numId w:val="1007"/>
        </w:numPr>
      </w:pPr>
      <w:r>
        <w:t xml:space="preserve">Закон даёт пенсионному органу не более 10 дней на рассмотрение заявления со дня его поступления, а если документы донесены позже — со дня их поступления (ст. 52 Закона № 4468-1). По Порядку Минобороны военкомат муниципального образования передаёт документы в военкомат субъекта в течение 3 рабочих дней, а решение принимают в течение 10 рабочих дней со дня поступления туда полного комплекта (пп. 28, 31 Порядка).</w:t>
      </w:r>
    </w:p>
    <w:p>
      <w:pPr>
        <w:pStyle w:val="Compact"/>
        <w:numPr>
          <w:ilvl w:val="0"/>
          <w:numId w:val="1007"/>
        </w:numPr>
      </w:pPr>
      <w:r>
        <w:t xml:space="preserve">Пенсию назначают со дня увольнения, но не ранее дня, до которого выплачено денежное довольствие; при позднем обращении за прошлое время — не более чем за 12 месяцев до дня обращения (ст. 53 Закона № 4468-1).</w:t>
      </w:r>
    </w:p>
    <w:bookmarkEnd w:id="14"/>
    <w:bookmarkStart w:id="15" w:name="основания"/>
    <w:p>
      <w:pPr>
        <w:pStyle w:val="Heading2"/>
      </w:pPr>
      <w:r>
        <w:t xml:space="preserve">Основания</w:t>
      </w:r>
    </w:p>
    <w:p>
      <w:pPr>
        <w:pStyle w:val="Compact"/>
        <w:numPr>
          <w:ilvl w:val="0"/>
          <w:numId w:val="1008"/>
        </w:numPr>
      </w:pPr>
      <w:r>
        <w:t xml:space="preserve">Закон РФ от 12.02.1993 № 4468-1, ст. 51–54 — https://www.consultant.ru/document/cons_doc_LAW_4436/</w:t>
      </w:r>
    </w:p>
    <w:p>
      <w:pPr>
        <w:pStyle w:val="Compact"/>
        <w:numPr>
          <w:ilvl w:val="0"/>
          <w:numId w:val="1008"/>
        </w:numPr>
      </w:pPr>
      <w:r>
        <w:t xml:space="preserve">Приказ Министра обороны РФ от 15.12.2023 № 845 «Об установлении Порядка организации работы по пенсионному обеспечению в Министерстве обороны Российской Федерации» — http://publication.pravo.gov.ru/document/0001202401150014</w:t>
      </w:r>
    </w:p>
    <w:p>
      <w:pPr>
        <w:pStyle w:val="Compact"/>
        <w:numPr>
          <w:ilvl w:val="0"/>
          <w:numId w:val="1008"/>
        </w:numPr>
      </w:pPr>
      <w:r>
        <w:t xml:space="preserve">Приказ Министра обороны РФ от 30.06.2025 № 413 (изменения в Порядок) — http://publication.pravo.gov.ru/document/0001202507250050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2026-10-06T06:38:15Z</dcterms:created>
  <dcterms:modified xsi:type="dcterms:W3CDTF">2026-10-06T06:38:15Z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